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ind w:hanging="0" w:left="0"/>
        <w:jc w:val="left"/>
        <w:rPr/>
      </w:pPr>
      <w:r>
        <w:rPr/>
        <w:t>Fixture Document</w:t>
      </w:r>
    </w:p>
    <w:p>
      <w:pPr>
        <w:pStyle w:val="Normal"/>
        <w:bidi w:val="0"/>
        <w:jc w:val="left"/>
        <w:rPr/>
      </w:pPr>
      <w:r>
        <w:rPr/>
        <w:t xml:space="preserve">Plain paragraph with </w:t>
      </w:r>
      <w:r>
        <w:rPr>
          <w:rStyle w:val="Bold"/>
        </w:rPr>
        <w:t>bold</w:t>
      </w:r>
      <w:r>
        <w:rPr/>
        <w:t xml:space="preserve">, </w:t>
      </w:r>
      <w:r>
        <w:rPr>
          <w:rStyle w:val="Italic"/>
        </w:rPr>
        <w:t>italic</w:t>
      </w:r>
      <w:r>
        <w:rPr/>
        <w:t xml:space="preserve">, and </w:t>
      </w:r>
      <w:r>
        <w:rPr>
          <w:rStyle w:val="Struck"/>
        </w:rPr>
        <w:t>struck</w:t>
      </w:r>
      <w:r>
        <w:rPr/>
        <w:t xml:space="preserve"> runs.</w:t>
      </w:r>
    </w:p>
    <w:p>
      <w:pPr>
        <w:pStyle w:val="StrongPara"/>
        <w:bidi w:val="0"/>
        <w:jc w:val="left"/>
        <w:rPr/>
      </w:pPr>
      <w:r>
        <w:rPr/>
        <w:t xml:space="preserve">Style-bold paragraph with a </w:t>
      </w:r>
      <w:r>
        <w:rPr>
          <w:rStyle w:val="NotBold"/>
        </w:rPr>
        <w:t>NotBold-styled span</w:t>
      </w:r>
      <w:r>
        <w:rPr/>
        <w:t xml:space="preserve"> inside.</w:t>
      </w:r>
    </w:p>
    <w:p>
      <w:pPr>
        <w:pStyle w:val="Heading2"/>
        <w:bidi w:val="0"/>
        <w:ind w:hanging="0" w:left="0"/>
        <w:jc w:val="left"/>
        <w:rPr/>
      </w:pPr>
      <w:r>
        <w:rPr/>
        <w:t>Lists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First numbered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Second numbered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Alpha sub one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Alpha sub two</w:t>
      </w:r>
    </w:p>
    <w:p>
      <w:pPr>
        <w:pStyle w:val="Normal"/>
        <w:numPr>
          <w:ilvl w:val="2"/>
          <w:numId w:val="2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Roman sub sub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Third numbered</w:t>
      </w:r>
    </w:p>
    <w:p>
      <w:pPr>
        <w:pStyle w:val="Normal"/>
        <w:bidi w:val="0"/>
        <w:jc w:val="left"/>
        <w:rPr/>
      </w:pPr>
      <w:r>
        <w:rPr/>
        <w:t>Interrupting paragraph between lists.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Fourth, continuing the count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Roman starting at four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Roman five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Bullet one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Bullet two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0" w:leader="none"/>
        </w:tabs>
        <w:bidi w:val="0"/>
        <w:ind w:hanging="0" w:left="0"/>
        <w:jc w:val="left"/>
        <w:rPr/>
      </w:pPr>
      <w:r>
        <w:rPr/>
        <w:t>Nested bullet</w:t>
      </w:r>
    </w:p>
    <w:p>
      <w:pPr>
        <w:pStyle w:val="Heading2"/>
        <w:bidi w:val="0"/>
        <w:ind w:hanging="0" w:left="0"/>
        <w:jc w:val="left"/>
        <w:rPr/>
      </w:pPr>
      <w:r>
        <w:rPr/>
        <w:t>Table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6425" w:type="dxa"/>
            <w:gridSpan w:val="2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>Wide head</w:t>
            </w:r>
          </w:p>
        </w:tc>
        <w:tc>
          <w:tcPr>
            <w:tcW w:w="321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>End</w:t>
            </w:r>
          </w:p>
        </w:tc>
      </w:tr>
      <w:tr>
        <w:trPr/>
        <w:tc>
          <w:tcPr>
            <w:tcW w:w="3212" w:type="dxa"/>
            <w:vMerge w:val="restart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>Tall</w:t>
            </w:r>
          </w:p>
        </w:tc>
        <w:tc>
          <w:tcPr>
            <w:tcW w:w="321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>B2</w:t>
            </w:r>
          </w:p>
        </w:tc>
        <w:tc>
          <w:tcPr>
            <w:tcW w:w="321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>C2</w:t>
            </w:r>
          </w:p>
        </w:tc>
      </w:tr>
      <w:tr>
        <w:trPr/>
        <w:tc>
          <w:tcPr>
            <w:tcW w:w="3212" w:type="dxa"/>
            <w:vMerge w:val="continue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>B3</w:t>
            </w:r>
          </w:p>
        </w:tc>
        <w:tc>
          <w:tcPr>
            <w:tcW w:w="321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/>
              <w:t>C3</w:t>
            </w:r>
          </w:p>
        </w:tc>
      </w:tr>
    </w:tbl>
    <w:p>
      <w:pPr>
        <w:pStyle w:val="Heading2"/>
        <w:bidi w:val="0"/>
        <w:ind w:hanging="0" w:left="0"/>
        <w:jc w:val="left"/>
        <w:rPr/>
      </w:pPr>
      <w:r>
        <w:rPr/>
        <w:t>Notes and special text</w:t>
      </w:r>
    </w:p>
    <w:p>
      <w:pPr>
        <w:pStyle w:val="Normal"/>
        <w:bidi w:val="0"/>
        <w:jc w:val="left"/>
        <w:rPr/>
      </w:pPr>
      <w:r>
        <w:rPr/>
        <w:t>Music clef 𝄞 appears before this footnote</w:t>
      </w:r>
      <w:r>
        <w:rPr>
          <w:rStyle w:val="FootnoteReference"/>
        </w:rPr>
        <w:footnoteReference w:id="2"/>
      </w:r>
      <w:r>
        <w:rPr/>
        <w:t xml:space="preserve"> reference.</w:t>
      </w:r>
    </w:p>
    <w:p>
      <w:pPr>
        <w:pStyle w:val="Normal"/>
        <w:bidi w:val="0"/>
        <w:jc w:val="left"/>
        <w:rPr/>
      </w:pPr>
      <w:r>
        <w:rPr/>
        <w:t>An endnote follows here</w:t>
      </w:r>
      <w:r>
        <w:rPr>
          <w:rStyle w:val="EndnoteReference"/>
        </w:rPr>
        <w:endnoteReference w:id="2"/>
      </w:r>
      <w:r>
        <w:rPr/>
        <w:t>.</w:t>
      </w:r>
    </w:p>
    <w:p>
      <w:pPr>
        <w:pStyle w:val="Normal"/>
        <w:bidi w:val="0"/>
        <w:jc w:val="left"/>
        <w:rPr/>
      </w:pPr>
      <w:r>
        <w:rPr/>
        <w:t xml:space="preserve">Persian with ZWNJ: </w:t>
      </w:r>
      <w:r>
        <w:rPr>
          <w:rtl w:val="true"/>
        </w:rPr>
        <w:t>می‌خواهم</w:t>
      </w:r>
      <w:r>
        <w:rPr/>
        <w:t>. Family emoji: 👨‍👩‍👧.</w:t>
      </w:r>
    </w:p>
    <w:p>
      <w:pPr>
        <w:pStyle w:val="Normal"/>
        <w:bidi w:val="0"/>
        <w:jc w:val="left"/>
        <w:rPr/>
      </w:pPr>
      <w:r>
        <w:rPr/>
        <w:t>Markdown specials: *stars* _under_ [bracket] `tick` #hash 1. dotted | pipe.</w:t>
      </w:r>
    </w:p>
    <w:p>
      <w:pPr>
        <w:pStyle w:val="Heading2"/>
        <w:bidi w:val="0"/>
        <w:ind w:hanging="0" w:left="0"/>
        <w:jc w:val="left"/>
        <w:rPr/>
      </w:pPr>
      <w:r>
        <w:rPr/>
        <w:t>Links and anchors</w:t>
      </w:r>
    </w:p>
    <w:p>
      <w:pPr>
        <w:pStyle w:val="Normal"/>
        <w:bidi w:val="0"/>
        <w:jc w:val="left"/>
        <w:rPr/>
      </w:pPr>
      <w:r>
        <w:rPr/>
        <w:t xml:space="preserve">External link to </w:t>
      </w:r>
      <w:hyperlink r:id="rId2">
        <w:r>
          <w:rPr>
            <w:rStyle w:val="Hyperlink"/>
          </w:rPr>
          <w:t>example</w:t>
        </w:r>
      </w:hyperlink>
      <w:r>
        <w:rPr/>
        <w:t>.</w:t>
      </w:r>
    </w:p>
    <w:p>
      <w:pPr>
        <w:pStyle w:val="Normal"/>
        <w:bidi w:val="0"/>
        <w:jc w:val="left"/>
        <w:rPr/>
      </w:pPr>
      <w:r>
        <w:rPr/>
        <w:t xml:space="preserve">Relative link to </w:t>
      </w:r>
      <w:hyperlink r:id="rId3">
        <w:r>
          <w:rPr>
            <w:rStyle w:val="Hyperlink"/>
          </w:rPr>
          <w:t>a sibling file</w:t>
        </w:r>
      </w:hyperlink>
      <w:r>
        <w:rPr/>
        <w:t>.</w:t>
      </w:r>
    </w:p>
    <w:p>
      <w:pPr>
        <w:pStyle w:val="Normal"/>
        <w:bidi w:val="0"/>
        <w:jc w:val="left"/>
        <w:rPr/>
      </w:pPr>
      <w:bookmarkStart w:id="0" w:name="plainmark"/>
      <w:bookmarkEnd w:id="0"/>
      <w:r>
        <w:rPr/>
        <w:t>This plain paragraph carries a bookmark.</w:t>
      </w:r>
    </w:p>
    <w:p>
      <w:pPr>
        <w:pStyle w:val="Normal"/>
        <w:bidi w:val="0"/>
        <w:jc w:val="left"/>
        <w:rPr/>
      </w:pPr>
      <w:r>
        <w:rPr/>
        <w:t xml:space="preserve">Jump to </w:t>
      </w:r>
      <w:hyperlink w:anchor="plainmark">
        <w:r>
          <w:rPr>
            <w:rStyle w:val="Hyperlink"/>
          </w:rPr>
          <w:t>the bookmarked paragraph</w:t>
        </w:r>
      </w:hyperlink>
      <w:r>
        <w:rPr/>
        <w:t>.</w:t>
      </w:r>
    </w:p>
    <w:p>
      <w:pPr>
        <w:pStyle w:val="Heading2"/>
        <w:bidi w:val="0"/>
        <w:ind w:hanging="0" w:left="0"/>
        <w:jc w:val="left"/>
        <w:rPr/>
      </w:pPr>
      <w:r>
        <w:rPr/>
        <w:t>Objects</w:t>
      </w:r>
    </w:p>
    <w:p>
      <w:pPr>
        <w:pStyle w:val="Normal"/>
        <w:bidi w:val="0"/>
        <w:jc w:val="left"/>
        <w:rPr/>
      </w:pPr>
      <w:r>
        <w:rPr/>
        <w:t xml:space="preserve">Inline image: </w:t>
      </w:r>
      <w:r>
        <w:rPr/>
        <w:drawing>
          <wp:inline distT="0" distB="0" distL="0" distR="0">
            <wp:extent cx="107950" cy="107950"/>
            <wp:effectExtent l="0" t="0" r="0" b="0"/>
            <wp:docPr id="1" name="Dot" descr="tiny red 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t" descr="tiny red do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done.</w:t>
      </w:r>
    </w:p>
    <w:p>
      <w:pPr>
        <w:pStyle w:val="Normal"/>
        <w:bidi w:val="0"/>
        <w:jc w:val="left"/>
        <w:rPr/>
      </w:pPr>
      <w:r>
        <w:rPr/>
        <w:t xml:space="preserve">Text box: </w:t>
      </w:r>
      <w:r>
        <w:rPr/>
      </w:r>
      <w:r>
        <w:rPr/>
        <w:t xml:space="preserve"> after the box.</w:t>
      </w:r>
      <w:r>
        <mc:AlternateContent>
          <mc:Choice Requires="wps">
            <w:drawing>
              <wp:inline distT="0" distB="0" distL="0" distR="0">
                <wp:extent cx="1800225" cy="720090"/>
                <wp:effectExtent l="0" t="0" r="0" b="0"/>
                <wp:docPr id="2" name="Box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72009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bidi w:val="0"/>
                              <w:jc w:val="left"/>
                              <w:rPr/>
                            </w:pPr>
                            <w:r>
                              <w:rPr/>
                              <w:t>Inside the text box.</w:t>
                            </w:r>
                          </w:p>
                        </w:txbxContent>
                      </wps:txbx>
                      <wps:bodyPr anchor="t" lIns="53975" tIns="53975" rIns="53975" bIns="5397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color="#000000" strokeweight="0pt" style="position:absolute;rotation:-0;width:141.75pt;height:56.7pt;mso-wrap-distance-left:5.7pt;mso-wrap-distance-right:5.7pt;mso-wrap-distance-top:5.7pt;mso-wrap-distance-bottom:5.7pt;margin-top:-68.1pt;mso-position-vertical:top;mso-position-vertical-relative:text;margin-left:0pt;mso-position-horizontal:center;mso-position-horizontal-relative:text">
                <v:textbox inset="0.0590277777777778in,0.0590277777777778in,0.0590277777777778in,0.0590277777777778in">
                  <w:txbxContent>
                    <w:p>
                      <w:pPr>
                        <w:pStyle w:val="FrameContents"/>
                        <w:bidi w:val="0"/>
                        <w:jc w:val="left"/>
                        <w:rPr/>
                      </w:pPr>
                      <w:r>
                        <w:rPr/>
                        <w:t>Inside the text box.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2"/>
        <w:bidi w:val="0"/>
        <w:ind w:hanging="0" w:left="0"/>
        <w:jc w:val="left"/>
        <w:rPr/>
      </w:pPr>
      <w:r>
        <w:rPr/>
        <w:t>Quote and code</w:t>
      </w:r>
    </w:p>
    <w:p>
      <w:pPr>
        <w:pStyle w:val="Normal"/>
        <w:bidi w:val="0"/>
        <w:jc w:val="left"/>
        <w:rPr/>
      </w:pPr>
      <w:r>
        <w:rPr/>
        <w:t>Value below one millionth: 0.0000004 should survive.</w:t>
      </w:r>
    </w:p>
    <w:sectPr>
      <w:footnotePr>
        <w:numFmt w:val="decimal"/>
      </w:footnotePr>
      <w:endnotePr>
        <w:numFmt w:val="lowerRoman"/>
      </w:end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suppressLineNumbers/>
        <w:bidi w:val="0"/>
        <w:ind w:hanging="340" w:left="340"/>
        <w:jc w:val="left"/>
        <w:rPr/>
      </w:pPr>
      <w:r>
        <w:rPr>
          <w:rStyle w:val="EndnoteCharacters"/>
        </w:rPr>
        <w:endnoteRef/>
      </w:r>
      <w:r>
        <w:rPr/>
        <w:tab/>
        <w:t>Endnote body text.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340" w:left="340"/>
        <w:jc w:val="left"/>
        <w:rPr/>
      </w:pPr>
      <w:r>
        <w:rPr>
          <w:rStyle w:val="FootnoteCharacters"/>
        </w:rPr>
        <w:footnoteRef/>
      </w:r>
      <w:r>
        <w:rPr/>
        <w:tab/>
        <w:t>Footnote after an astral character.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4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endnotePr>
    <w:numFmt w:val="lowerRoman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next w:val="BodyText"/>
    <w:qFormat/>
    <w:pPr>
      <w:widowControl w:val="false"/>
      <w:numPr>
        <w:ilvl w:val="0"/>
        <w:numId w:val="1"/>
      </w:numPr>
      <w:bidi w:val="0"/>
      <w:outlineLvl w:val="0"/>
    </w:pPr>
    <w:rPr>
      <w:rFonts w:ascii="Liberation Serif" w:hAnsi="Liberation Serif" w:eastAsia="NSimSun" w:cs="Arial"/>
      <w:b/>
      <w:color w:val="auto"/>
      <w:kern w:val="2"/>
      <w:sz w:val="36"/>
      <w:szCs w:val="24"/>
      <w:lang w:val="en-GB" w:eastAsia="zh-CN" w:bidi="hi-IN"/>
    </w:rPr>
  </w:style>
  <w:style w:type="paragraph" w:styleId="Heading2">
    <w:name w:val="heading 2"/>
    <w:next w:val="BodyText"/>
    <w:qFormat/>
    <w:pPr>
      <w:widowControl w:val="false"/>
      <w:numPr>
        <w:ilvl w:val="1"/>
        <w:numId w:val="1"/>
      </w:numPr>
      <w:bidi w:val="0"/>
      <w:outlineLvl w:val="1"/>
    </w:pPr>
    <w:rPr>
      <w:rFonts w:ascii="Liberation Serif" w:hAnsi="Liberation Serif" w:eastAsia="NSimSun" w:cs="Arial"/>
      <w:b/>
      <w:color w:val="auto"/>
      <w:kern w:val="2"/>
      <w:sz w:val="30"/>
      <w:szCs w:val="24"/>
      <w:lang w:val="en-GB" w:eastAsia="zh-CN" w:bidi="hi-IN"/>
    </w:rPr>
  </w:style>
  <w:style w:type="paragraph" w:styleId="Heading3">
    <w:name w:val="heading 3"/>
    <w:next w:val="BodyText"/>
    <w:qFormat/>
    <w:pPr>
      <w:widowControl w:val="false"/>
      <w:numPr>
        <w:ilvl w:val="2"/>
        <w:numId w:val="1"/>
      </w:numPr>
      <w:bidi w:val="0"/>
      <w:outlineLvl w:val="2"/>
    </w:pPr>
    <w:rPr>
      <w:rFonts w:ascii="Liberation Serif" w:hAnsi="Liberation Serif" w:eastAsia="NSimSun" w:cs="Arial"/>
      <w:b/>
      <w:color w:val="auto"/>
      <w:kern w:val="2"/>
      <w:sz w:val="26"/>
      <w:szCs w:val="24"/>
      <w:lang w:val="en-GB" w:eastAsia="zh-CN" w:bidi="hi-IN"/>
    </w:rPr>
  </w:style>
  <w:style w:type="character" w:styleId="NotBold">
    <w:name w:val="NotBold"/>
    <w:qFormat/>
    <w:rPr>
      <w:b w:val="false"/>
    </w:rPr>
  </w:style>
  <w:style w:type="character" w:styleId="Bold">
    <w:name w:val="Bold"/>
    <w:qFormat/>
    <w:rPr>
      <w:b/>
    </w:rPr>
  </w:style>
  <w:style w:type="character" w:styleId="Italic">
    <w:name w:val="Italic"/>
    <w:qFormat/>
    <w:rPr>
      <w:i/>
    </w:rPr>
  </w:style>
  <w:style w:type="character" w:styleId="Struck">
    <w:name w:val="Struck"/>
    <w:qFormat/>
    <w:rPr>
      <w:strike/>
    </w:rPr>
  </w:style>
  <w:style w:type="character" w:styleId="Hyperlink">
    <w:name w:val="Hyperlink"/>
    <w:rPr>
      <w:color w:val="000080"/>
      <w:u w:val="single"/>
    </w:rPr>
  </w:style>
  <w:style w:type="character" w:styleId="FootnoteCharacters">
    <w:name w:val="Footnote Characters"/>
    <w:qFormat/>
    <w:rPr/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EndnoteReference">
    <w:name w:val="endnote reference"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rongPara">
    <w:name w:val="StrongPara"/>
    <w:qFormat/>
    <w:pPr>
      <w:widowControl w:val="false"/>
      <w:bidi w:val="0"/>
    </w:pPr>
    <w:rPr>
      <w:rFonts w:ascii="Liberation Serif" w:hAnsi="Liberation Serif" w:eastAsia="NSimSun" w:cs="Arial"/>
      <w:b/>
      <w:color w:val="auto"/>
      <w:kern w:val="2"/>
      <w:sz w:val="24"/>
      <w:szCs w:val="24"/>
      <w:lang w:val="en-GB" w:eastAsia="zh-CN" w:bidi="hi-I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paragraph" w:styleId="FrameContents">
    <w:name w:val="Frame Contents"/>
    <w:basedOn w:val="Normal"/>
    <w:qFormat/>
    <w:pPr/>
    <w:rPr/>
  </w:style>
  <w:style w:type="numbering" w:styleId="NumList">
    <w:name w:val="NumList"/>
    <w:qFormat/>
  </w:style>
  <w:style w:type="numbering" w:styleId="BulList">
    <w:name w:val="BulList"/>
    <w:qFormat/>
  </w:style>
  <w:style w:type="numbering" w:styleId="RomanList">
    <w:name w:val="Roman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xample.com/page" TargetMode="External"/><Relationship Id="rId3" Type="http://schemas.openxmlformats.org/officeDocument/2006/relationships/hyperlink" Target="../../fixture-src/sibling.odt" TargetMode="External"/><Relationship Id="rId4" Type="http://schemas.openxmlformats.org/officeDocument/2006/relationships/image" Target="media/image1.png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cp:revision>0</cp:revision>
  <dc:subject/>
  <dc:title/>
</cp:coreProperties>
</file>